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4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4C5944">
        <w:trPr>
          <w:trHeight w:val="1811"/>
        </w:trPr>
        <w:tc>
          <w:tcPr>
            <w:tcW w:w="9075" w:type="dxa"/>
          </w:tcPr>
          <w:p w:rsidR="004C5944" w:rsidRDefault="009577D6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52195" cy="1345565"/>
                  <wp:effectExtent l="0" t="0" r="14605" b="6985"/>
                  <wp:docPr id="333" name="Image 3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" name="Image 33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195" cy="134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944">
        <w:trPr>
          <w:trHeight w:val="340"/>
        </w:trPr>
        <w:tc>
          <w:tcPr>
            <w:tcW w:w="9075" w:type="dxa"/>
          </w:tcPr>
          <w:p w:rsidR="004C5944" w:rsidRDefault="009577D6">
            <w:pPr>
              <w:pStyle w:val="TableParagraph"/>
              <w:spacing w:before="71" w:line="249" w:lineRule="exact"/>
              <w:ind w:left="410" w:right="4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МИНОБРНАУКИ</w:t>
            </w:r>
            <w:r>
              <w:rPr>
                <w:spacing w:val="-9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РОССИИ</w:t>
            </w:r>
          </w:p>
        </w:tc>
      </w:tr>
      <w:tr w:rsidR="004C5944">
        <w:trPr>
          <w:trHeight w:val="1170"/>
        </w:trPr>
        <w:tc>
          <w:tcPr>
            <w:tcW w:w="9075" w:type="dxa"/>
            <w:tcBorders>
              <w:bottom w:val="single" w:sz="6" w:space="0" w:color="000000"/>
            </w:tcBorders>
          </w:tcPr>
          <w:p w:rsidR="004C5944" w:rsidRDefault="009577D6">
            <w:pPr>
              <w:pStyle w:val="TableParagraph"/>
              <w:spacing w:before="12" w:line="208" w:lineRule="auto"/>
              <w:ind w:left="409" w:right="4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Федеральное</w:t>
            </w:r>
            <w:r>
              <w:rPr>
                <w:spacing w:val="-1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государственное</w:t>
            </w:r>
            <w:r>
              <w:rPr>
                <w:spacing w:val="-1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бюджетное</w:t>
            </w:r>
            <w:r>
              <w:rPr>
                <w:spacing w:val="-1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образовательное</w:t>
            </w:r>
            <w:r>
              <w:rPr>
                <w:spacing w:val="-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учреждение высшего образования</w:t>
            </w:r>
          </w:p>
          <w:p w:rsidR="004C5944" w:rsidRDefault="009577D6">
            <w:pPr>
              <w:pStyle w:val="TableParagraph"/>
              <w:spacing w:line="244" w:lineRule="exact"/>
              <w:ind w:left="411" w:right="49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«МИРЭА</w:t>
            </w:r>
            <w:r>
              <w:rPr>
                <w:b/>
                <w:spacing w:val="-7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–</w:t>
            </w:r>
            <w:r>
              <w:rPr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Российский</w:t>
            </w:r>
            <w:r>
              <w:rPr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технологический</w:t>
            </w:r>
            <w:r>
              <w:rPr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университет»</w:t>
            </w:r>
          </w:p>
          <w:p w:rsidR="004C5944" w:rsidRDefault="009577D6">
            <w:pPr>
              <w:pStyle w:val="TableParagraph"/>
              <w:spacing w:line="319" w:lineRule="exact"/>
              <w:ind w:left="413" w:right="49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РТУ</w:t>
            </w:r>
            <w:r>
              <w:rPr>
                <w:b/>
                <w:spacing w:val="-2"/>
                <w:sz w:val="28"/>
                <w:szCs w:val="28"/>
              </w:rPr>
              <w:t xml:space="preserve"> МИРЭА</w:t>
            </w:r>
          </w:p>
        </w:tc>
      </w:tr>
    </w:tbl>
    <w:p w:rsidR="004C5944" w:rsidRDefault="009577D6">
      <w:pPr>
        <w:pStyle w:val="a5"/>
        <w:spacing w:before="211"/>
        <w:ind w:left="985" w:right="1132"/>
        <w:jc w:val="center"/>
      </w:pPr>
      <w:r>
        <w:t>Институт</w:t>
      </w:r>
      <w:r>
        <w:rPr>
          <w:spacing w:val="-11"/>
        </w:rPr>
        <w:t xml:space="preserve"> </w:t>
      </w:r>
      <w:r>
        <w:t>радиоэлектроники и информатики</w:t>
      </w:r>
      <w:r>
        <w:rPr>
          <w:spacing w:val="-9"/>
        </w:rPr>
        <w:t xml:space="preserve"> </w:t>
      </w:r>
    </w:p>
    <w:p w:rsidR="004C5944" w:rsidRDefault="004C5944">
      <w:pPr>
        <w:pStyle w:val="a5"/>
        <w:spacing w:before="1"/>
        <w:ind w:left="0"/>
      </w:pPr>
    </w:p>
    <w:p w:rsidR="004C5944" w:rsidRDefault="009577D6">
      <w:pPr>
        <w:pStyle w:val="a5"/>
        <w:spacing w:before="1" w:line="322" w:lineRule="exact"/>
        <w:ind w:left="164" w:right="304"/>
        <w:jc w:val="center"/>
      </w:pPr>
      <w:r>
        <w:rPr>
          <w:spacing w:val="-2"/>
        </w:rPr>
        <w:t>Дисциплина</w:t>
      </w:r>
    </w:p>
    <w:p w:rsidR="004C5944" w:rsidRDefault="009577D6">
      <w:pPr>
        <w:pStyle w:val="a5"/>
        <w:ind w:left="105" w:right="247"/>
        <w:jc w:val="center"/>
      </w:pPr>
      <w:r>
        <w:t>«Модули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техника</w:t>
      </w:r>
      <w:r>
        <w:rPr>
          <w:spacing w:val="-8"/>
        </w:rPr>
        <w:t xml:space="preserve"> </w:t>
      </w:r>
      <w:r>
        <w:t>сверхвысоких</w:t>
      </w:r>
      <w:r>
        <w:rPr>
          <w:spacing w:val="-3"/>
        </w:rPr>
        <w:t xml:space="preserve"> </w:t>
      </w:r>
      <w:r>
        <w:rPr>
          <w:spacing w:val="-2"/>
        </w:rPr>
        <w:t>частот»</w:t>
      </w:r>
    </w:p>
    <w:p w:rsidR="004C5944" w:rsidRDefault="004C5944">
      <w:pPr>
        <w:pStyle w:val="a5"/>
        <w:spacing w:before="239"/>
        <w:ind w:left="0"/>
      </w:pPr>
    </w:p>
    <w:p w:rsidR="004C5944" w:rsidRDefault="009577D6">
      <w:pPr>
        <w:pStyle w:val="a5"/>
        <w:ind w:left="105" w:right="247"/>
        <w:jc w:val="center"/>
      </w:pPr>
      <w:r>
        <w:t>Отчет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лабораторной</w:t>
      </w:r>
      <w:r>
        <w:rPr>
          <w:spacing w:val="-5"/>
        </w:rPr>
        <w:t xml:space="preserve"> </w:t>
      </w:r>
      <w:r>
        <w:t>работе</w:t>
      </w:r>
      <w:r>
        <w:rPr>
          <w:spacing w:val="-8"/>
        </w:rPr>
        <w:t xml:space="preserve"> </w:t>
      </w:r>
      <w:r>
        <w:rPr>
          <w:spacing w:val="-5"/>
        </w:rPr>
        <w:t>№1</w:t>
      </w:r>
    </w:p>
    <w:p w:rsidR="004C5944" w:rsidRDefault="009577D6">
      <w:pPr>
        <w:pStyle w:val="a5"/>
        <w:spacing w:before="117" w:line="288" w:lineRule="auto"/>
        <w:ind w:left="102" w:right="247"/>
        <w:jc w:val="center"/>
      </w:pPr>
      <w:r>
        <w:t xml:space="preserve">«ОДНОШЛЕЙФНОЕ СОГЛАСОВАНИЕ ЛИНИИ ПЕРЕДАЧИ </w:t>
      </w:r>
    </w:p>
    <w:p w:rsidR="004C5944" w:rsidRDefault="009577D6">
      <w:pPr>
        <w:pStyle w:val="a5"/>
        <w:spacing w:before="117" w:line="288" w:lineRule="auto"/>
        <w:ind w:left="102" w:right="247"/>
        <w:jc w:val="center"/>
      </w:pPr>
      <w:r>
        <w:t>С НАГРУЗКОЙ»</w:t>
      </w:r>
    </w:p>
    <w:p w:rsidR="004C5944" w:rsidRDefault="004C5944">
      <w:pPr>
        <w:pStyle w:val="a5"/>
        <w:ind w:left="0"/>
      </w:pPr>
    </w:p>
    <w:p w:rsidR="004C5944" w:rsidRDefault="004C5944">
      <w:pPr>
        <w:pStyle w:val="a5"/>
        <w:ind w:left="0"/>
      </w:pPr>
    </w:p>
    <w:p w:rsidR="004C5944" w:rsidRDefault="004C5944">
      <w:pPr>
        <w:pStyle w:val="a5"/>
        <w:ind w:left="0"/>
      </w:pPr>
    </w:p>
    <w:p w:rsidR="004C5944" w:rsidRDefault="004C5944">
      <w:pPr>
        <w:pStyle w:val="a5"/>
        <w:spacing w:before="97"/>
        <w:ind w:left="0"/>
      </w:pPr>
    </w:p>
    <w:p w:rsidR="004C5944" w:rsidRPr="001712BD" w:rsidRDefault="009577D6">
      <w:pPr>
        <w:pStyle w:val="a5"/>
        <w:rPr>
          <w:lang w:val="en-US"/>
        </w:rPr>
      </w:pPr>
      <w:r>
        <w:t>Выполнил</w:t>
      </w:r>
      <w:r>
        <w:rPr>
          <w:spacing w:val="-8"/>
        </w:rPr>
        <w:t xml:space="preserve"> </w:t>
      </w:r>
      <w:r>
        <w:rPr>
          <w:spacing w:val="-2"/>
        </w:rPr>
        <w:t xml:space="preserve">студент: </w:t>
      </w:r>
      <w:r w:rsidR="000069A1">
        <w:rPr>
          <w:spacing w:val="-2"/>
        </w:rPr>
        <w:t>Лызлов Тихон Игоревич</w:t>
      </w:r>
      <w:bookmarkStart w:id="0" w:name="_GoBack"/>
      <w:bookmarkEnd w:id="0"/>
    </w:p>
    <w:p w:rsidR="004C5944" w:rsidRDefault="009577D6">
      <w:pPr>
        <w:pStyle w:val="a5"/>
        <w:spacing w:before="122"/>
      </w:pPr>
      <w:r>
        <w:rPr>
          <w:spacing w:val="-2"/>
        </w:rPr>
        <w:t>Группа: РКБО-02-23</w:t>
      </w:r>
    </w:p>
    <w:p w:rsidR="004C5944" w:rsidRDefault="009577D6">
      <w:pPr>
        <w:pStyle w:val="a5"/>
        <w:spacing w:before="120"/>
      </w:pPr>
      <w:r>
        <w:rPr>
          <w:spacing w:val="-2"/>
        </w:rPr>
        <w:t>Преподаватель: Демин Олег Александрович</w:t>
      </w:r>
    </w:p>
    <w:p w:rsidR="004C5944" w:rsidRDefault="004C5944">
      <w:pPr>
        <w:pStyle w:val="a5"/>
        <w:ind w:left="0"/>
      </w:pPr>
    </w:p>
    <w:p w:rsidR="004C5944" w:rsidRDefault="004C5944">
      <w:pPr>
        <w:rPr>
          <w:rFonts w:ascii="Times New Roman" w:hAnsi="Times New Roman" w:cs="Times New Roman"/>
          <w:sz w:val="28"/>
          <w:szCs w:val="28"/>
        </w:rPr>
      </w:pPr>
    </w:p>
    <w:p w:rsidR="004C5944" w:rsidRDefault="004C5944">
      <w:pPr>
        <w:rPr>
          <w:rFonts w:ascii="Times New Roman" w:hAnsi="Times New Roman" w:cs="Times New Roman"/>
          <w:sz w:val="28"/>
          <w:szCs w:val="28"/>
        </w:rPr>
      </w:pPr>
    </w:p>
    <w:p w:rsidR="004C5944" w:rsidRDefault="004C5944">
      <w:pPr>
        <w:rPr>
          <w:rFonts w:ascii="Times New Roman" w:hAnsi="Times New Roman" w:cs="Times New Roman"/>
          <w:sz w:val="28"/>
          <w:szCs w:val="28"/>
        </w:rPr>
      </w:pPr>
    </w:p>
    <w:p w:rsidR="004C5944" w:rsidRDefault="009577D6">
      <w:pPr>
        <w:pStyle w:val="a5"/>
        <w:ind w:left="105" w:right="247"/>
        <w:jc w:val="center"/>
        <w:sectPr w:rsidR="004C5944">
          <w:pgSz w:w="11910" w:h="16840"/>
          <w:pgMar w:top="480" w:right="850" w:bottom="1240" w:left="992" w:header="0" w:footer="992" w:gutter="0"/>
          <w:cols w:space="720"/>
        </w:sectPr>
      </w:pPr>
      <w:r>
        <w:t>Москва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2026</w:t>
      </w:r>
    </w:p>
    <w:p w:rsidR="004C5944" w:rsidRDefault="009577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Задание к расчетной части</w:t>
      </w:r>
    </w:p>
    <w:p w:rsidR="004C5944" w:rsidRDefault="009577D6">
      <w:p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Cambria" w:eastAsia="Cambria" w:hAnsi="Cambria" w:cs="Cambria"/>
          <w:color w:val="000000"/>
          <w:sz w:val="26"/>
          <w:szCs w:val="26"/>
        </w:rPr>
        <w:t xml:space="preserve">𝑊 = 50 </w:t>
      </w:r>
      <w:r>
        <w:rPr>
          <w:rFonts w:ascii="Times New Roman" w:eastAsia="SimSun" w:hAnsi="Times New Roman" w:cs="Times New Roman"/>
          <w:color w:val="000000"/>
          <w:sz w:val="26"/>
          <w:szCs w:val="26"/>
        </w:rPr>
        <w:t>Ом</w:t>
      </w:r>
    </w:p>
    <w:p w:rsidR="004C5944" w:rsidRDefault="009577D6">
      <w:p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t xml:space="preserve">Для варианта </w:t>
      </w:r>
      <w:r w:rsidRPr="009577D6">
        <w:rPr>
          <w:rFonts w:ascii="Times New Roman" w:eastAsia="SimSun" w:hAnsi="Times New Roman" w:cs="Times New Roman"/>
          <w:color w:val="000000"/>
          <w:sz w:val="26"/>
          <w:szCs w:val="26"/>
        </w:rPr>
        <w:t>7</w:t>
      </w:r>
      <w:r>
        <w:rPr>
          <w:rFonts w:ascii="Times New Roman" w:eastAsia="SimSun" w:hAnsi="Times New Roman" w:cs="Times New Roman"/>
          <w:color w:val="000000"/>
          <w:sz w:val="26"/>
          <w:szCs w:val="26"/>
        </w:rPr>
        <w:t>:</w:t>
      </w:r>
    </w:p>
    <w:p w:rsidR="004C5944" w:rsidRDefault="009577D6">
      <w:p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t>КБВ = 0,</w:t>
      </w:r>
      <w:r w:rsidRPr="009577D6">
        <w:rPr>
          <w:rFonts w:ascii="Times New Roman" w:eastAsia="SimSun" w:hAnsi="Times New Roman" w:cs="Times New Roman"/>
          <w:color w:val="000000"/>
          <w:sz w:val="26"/>
          <w:szCs w:val="26"/>
        </w:rPr>
        <w:t>2</w:t>
      </w:r>
      <w:r>
        <w:rPr>
          <w:rFonts w:ascii="Times New Roman" w:eastAsia="SimSun" w:hAnsi="Times New Roman" w:cs="Times New Roman"/>
          <w:color w:val="000000"/>
          <w:sz w:val="26"/>
          <w:szCs w:val="26"/>
        </w:rPr>
        <w:t>, Δ</w:t>
      </w:r>
      <w:r>
        <w:rPr>
          <w:rFonts w:ascii="Times New Roman" w:eastAsia="SimSun" w:hAnsi="Times New Roman" w:cs="Times New Roman"/>
          <w:color w:val="000000"/>
          <w:sz w:val="26"/>
          <w:szCs w:val="26"/>
          <w:lang w:val="en-US"/>
        </w:rPr>
        <w:t>l</w:t>
      </w:r>
      <w:r w:rsidRPr="009577D6">
        <w:rPr>
          <w:rFonts w:ascii="Times New Roman" w:eastAsia="SimSun" w:hAnsi="Times New Roman" w:cs="Times New Roman"/>
          <w:color w:val="000000"/>
          <w:sz w:val="26"/>
          <w:szCs w:val="26"/>
        </w:rPr>
        <w:t>/</w:t>
      </w:r>
      <w:r>
        <w:rPr>
          <w:rFonts w:ascii="Times New Roman" w:eastAsia="SimSun" w:hAnsi="Times New Roman" w:cs="Times New Roman"/>
          <w:color w:val="000000"/>
          <w:sz w:val="26"/>
          <w:szCs w:val="26"/>
        </w:rPr>
        <w:t>Λк генератору = 0,</w:t>
      </w:r>
      <w:r w:rsidRPr="009577D6">
        <w:rPr>
          <w:rFonts w:ascii="Times New Roman" w:eastAsia="SimSun" w:hAnsi="Times New Roman" w:cs="Times New Roman"/>
          <w:color w:val="000000"/>
          <w:sz w:val="26"/>
          <w:szCs w:val="26"/>
        </w:rPr>
        <w:t>04</w:t>
      </w:r>
      <w:r>
        <w:rPr>
          <w:rFonts w:ascii="Times New Roman" w:eastAsia="SimSun" w:hAnsi="Times New Roman" w:cs="Times New Roman"/>
          <w:color w:val="000000"/>
          <w:sz w:val="26"/>
          <w:szCs w:val="26"/>
        </w:rPr>
        <w:t>, Δ</w:t>
      </w:r>
      <w:r>
        <w:rPr>
          <w:rFonts w:ascii="Times New Roman" w:eastAsia="SimSun" w:hAnsi="Times New Roman" w:cs="Times New Roman"/>
          <w:color w:val="000000"/>
          <w:sz w:val="26"/>
          <w:szCs w:val="26"/>
          <w:lang w:val="en-US"/>
        </w:rPr>
        <w:t>l</w:t>
      </w:r>
      <w:r>
        <w:rPr>
          <w:rFonts w:ascii="Times New Roman" w:eastAsia="SimSun" w:hAnsi="Times New Roman" w:cs="Times New Roman"/>
          <w:color w:val="000000"/>
          <w:sz w:val="26"/>
          <w:szCs w:val="26"/>
        </w:rPr>
        <w:t>/Λк нагрузке = 0,</w:t>
      </w:r>
      <w:r w:rsidRPr="009577D6">
        <w:rPr>
          <w:rFonts w:ascii="Times New Roman" w:eastAsia="SimSun" w:hAnsi="Times New Roman" w:cs="Times New Roman"/>
          <w:color w:val="000000"/>
          <w:sz w:val="26"/>
          <w:szCs w:val="26"/>
        </w:rPr>
        <w:t>15</w:t>
      </w:r>
      <w:r>
        <w:rPr>
          <w:rFonts w:ascii="Times New Roman" w:eastAsia="SimSun" w:hAnsi="Times New Roman" w:cs="Times New Roman"/>
          <w:color w:val="000000"/>
          <w:sz w:val="26"/>
          <w:szCs w:val="26"/>
        </w:rPr>
        <w:t>.</w:t>
      </w:r>
    </w:p>
    <w:p w:rsidR="004C5944" w:rsidRDefault="004C5944">
      <w:pPr>
        <w:rPr>
          <w:rFonts w:ascii="Times New Roman" w:hAnsi="Times New Roman" w:cs="Times New Roman"/>
          <w:sz w:val="28"/>
          <w:szCs w:val="28"/>
        </w:rPr>
      </w:pPr>
    </w:p>
    <w:p w:rsidR="004C5944" w:rsidRDefault="009577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мы по заданным данным с помощью диаграммы Вольперта–Смита определили комплексное сопротивление нагрузки для двух случаев (в сторону генератора и нагрузки).</w:t>
      </w:r>
    </w:p>
    <w:p w:rsidR="004C5944" w:rsidRDefault="004C5944">
      <w:pPr>
        <w:rPr>
          <w:rFonts w:ascii="Times New Roman" w:hAnsi="Times New Roman" w:cs="Times New Roman"/>
          <w:sz w:val="28"/>
          <w:szCs w:val="28"/>
        </w:rPr>
      </w:pPr>
    </w:p>
    <w:p w:rsidR="004C5944" w:rsidRDefault="009577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Задача 1. К генератору</w:t>
      </w:r>
    </w:p>
    <w:p w:rsidR="004C5944" w:rsidRDefault="009577D6">
      <w:pPr>
        <w:jc w:val="center"/>
      </w:pPr>
      <w:r>
        <w:rPr>
          <w:noProof/>
          <w:lang w:eastAsia="ru-RU"/>
        </w:rPr>
        <w:drawing>
          <wp:inline distT="0" distB="0" distL="114300" distR="114300">
            <wp:extent cx="4679315" cy="4506595"/>
            <wp:effectExtent l="0" t="0" r="6985" b="8255"/>
            <wp:docPr id="6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9315" cy="450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Default="009577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Pr="009577D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 Точка пересечения на диаграмме Вольперта-Смита</w:t>
      </w:r>
    </w:p>
    <w:p w:rsidR="004C5944" w:rsidRDefault="004C5944">
      <w:pPr>
        <w:jc w:val="center"/>
      </w:pPr>
    </w:p>
    <w:p w:rsidR="004C5944" w:rsidRDefault="004C59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C5944" w:rsidRDefault="009577D6">
      <w:pPr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6"/>
          <w:szCs w:val="26"/>
        </w:rPr>
        <w:t>𝑍н</w:t>
      </w:r>
      <w:r w:rsidRPr="009577D6">
        <w:rPr>
          <w:rFonts w:ascii="Cambria" w:eastAsia="Cambria" w:hAnsi="Cambria" w:cs="Cambria"/>
          <w:color w:val="000000"/>
          <w:sz w:val="26"/>
          <w:szCs w:val="26"/>
        </w:rPr>
        <w:t>/</w:t>
      </w:r>
      <w:r>
        <w:rPr>
          <w:rFonts w:ascii="Cambria" w:eastAsia="Cambria" w:hAnsi="Cambria" w:cs="Cambria"/>
          <w:color w:val="000000"/>
          <w:sz w:val="26"/>
          <w:szCs w:val="26"/>
        </w:rPr>
        <w:t>𝑊</w:t>
      </w:r>
      <w:r w:rsidRPr="009577D6">
        <w:rPr>
          <w:rFonts w:ascii="Cambria" w:eastAsia="Cambria" w:hAnsi="Cambria" w:cs="Cambria"/>
          <w:color w:val="000000"/>
          <w:sz w:val="26"/>
          <w:szCs w:val="26"/>
        </w:rPr>
        <w:t xml:space="preserve"> = </w:t>
      </w:r>
      <w:r>
        <w:rPr>
          <w:rFonts w:ascii="Cambria" w:eastAsia="Cambria" w:hAnsi="Cambria" w:cs="Cambria"/>
          <w:color w:val="000000"/>
          <w:sz w:val="28"/>
          <w:szCs w:val="28"/>
        </w:rPr>
        <w:t>𝑧̇</w:t>
      </w:r>
      <w:r>
        <w:rPr>
          <w:rFonts w:ascii="Times New Roman" w:eastAsia="SimSun" w:hAnsi="Times New Roman" w:cs="Times New Roman"/>
          <w:color w:val="000000"/>
          <w:sz w:val="28"/>
          <w:szCs w:val="28"/>
          <w:vertAlign w:val="subscript"/>
        </w:rPr>
        <w:t xml:space="preserve">н </w:t>
      </w:r>
      <w:r>
        <w:rPr>
          <w:rFonts w:ascii="Cambria" w:eastAsia="Cambria" w:hAnsi="Cambria" w:cs="Cambria"/>
          <w:color w:val="000000"/>
          <w:sz w:val="28"/>
          <w:szCs w:val="28"/>
        </w:rPr>
        <w:t>= 0,</w:t>
      </w:r>
      <w:r w:rsidRPr="009577D6">
        <w:rPr>
          <w:rFonts w:ascii="Cambria" w:eastAsia="Cambria" w:hAnsi="Cambria" w:cs="Cambria"/>
          <w:color w:val="000000"/>
          <w:sz w:val="28"/>
          <w:szCs w:val="28"/>
        </w:rPr>
        <w:t>21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+ 0,</w:t>
      </w:r>
      <w:r w:rsidRPr="009577D6">
        <w:rPr>
          <w:rFonts w:ascii="Cambria" w:eastAsia="Cambria" w:hAnsi="Cambria" w:cs="Cambria"/>
          <w:color w:val="000000"/>
          <w:sz w:val="28"/>
          <w:szCs w:val="28"/>
        </w:rPr>
        <w:t>258</w:t>
      </w:r>
      <w:r>
        <w:rPr>
          <w:rFonts w:ascii="Cambria" w:eastAsia="Cambria" w:hAnsi="Cambria" w:cs="Cambria"/>
          <w:color w:val="000000"/>
          <w:sz w:val="28"/>
          <w:szCs w:val="28"/>
        </w:rPr>
        <w:t>𝑖,</w:t>
      </w:r>
    </w:p>
    <w:p w:rsidR="004C5944" w:rsidRPr="009577D6" w:rsidRDefault="009577D6">
      <w:pPr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lastRenderedPageBreak/>
        <w:t>Откуда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</w:rPr>
        <w:t xml:space="preserve"> : </w:t>
      </w:r>
    </w:p>
    <w:p w:rsidR="004C5944" w:rsidRDefault="009577D6">
      <w:pPr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6"/>
          <w:szCs w:val="26"/>
        </w:rPr>
        <w:t>𝑍н</w:t>
      </w:r>
      <w:r>
        <w:rPr>
          <w:rFonts w:ascii="Cambria" w:eastAsia="Cambria" w:hAnsi="Cambria" w:cs="Cambria"/>
          <w:color w:val="000000"/>
          <w:sz w:val="26"/>
          <w:szCs w:val="26"/>
          <w:lang w:val="en-US"/>
        </w:rPr>
        <w:t xml:space="preserve"> =10,5 + 12,9</w:t>
      </w:r>
      <w:r>
        <w:rPr>
          <w:rFonts w:ascii="Cambria" w:eastAsia="Cambria" w:hAnsi="Cambria" w:cs="Cambria"/>
          <w:color w:val="000000"/>
          <w:sz w:val="28"/>
          <w:szCs w:val="28"/>
        </w:rPr>
        <w:t>𝑖</w:t>
      </w:r>
    </w:p>
    <w:p w:rsidR="004C5944" w:rsidRDefault="004C5944">
      <w:pPr>
        <w:rPr>
          <w:rFonts w:ascii="Cambria" w:eastAsia="Cambria" w:hAnsi="Cambria" w:cs="Cambria"/>
          <w:color w:val="000000"/>
          <w:sz w:val="28"/>
          <w:szCs w:val="28"/>
          <w:lang w:val="en-US"/>
        </w:rPr>
      </w:pPr>
    </w:p>
    <w:p w:rsidR="004C5944" w:rsidRDefault="004C5944">
      <w:pPr>
        <w:spacing w:beforeAutospacing="1" w:after="0" w:afterAutospacing="1"/>
        <w:ind w:left="3820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C5944" w:rsidRDefault="004C5944">
      <w:pPr>
        <w:spacing w:beforeAutospacing="1" w:after="0" w:afterAutospacing="1"/>
        <w:ind w:left="3820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C5944" w:rsidRDefault="009577D6">
      <w:pPr>
        <w:pStyle w:val="2"/>
        <w:spacing w:before="260" w:beforeAutospacing="0" w:afterAutospacing="0" w:line="15" w:lineRule="atLeast"/>
        <w:ind w:left="720"/>
        <w:jc w:val="center"/>
        <w:rPr>
          <w:rFonts w:ascii="Times New Roman" w:hAnsi="Times New Roman" w:hint="default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hint="default"/>
          <w:i w:val="0"/>
          <w:iCs w:val="0"/>
          <w:color w:val="000000"/>
          <w:sz w:val="28"/>
          <w:szCs w:val="28"/>
        </w:rPr>
        <w:t>Задача 2. К нагрузке</w:t>
      </w:r>
    </w:p>
    <w:p w:rsidR="004C5944" w:rsidRDefault="004C5944"/>
    <w:p w:rsidR="004C5944" w:rsidRDefault="009577D6">
      <w:pPr>
        <w:jc w:val="center"/>
      </w:pPr>
      <w:r>
        <w:rPr>
          <w:noProof/>
          <w:lang w:eastAsia="ru-RU"/>
        </w:rPr>
        <w:drawing>
          <wp:inline distT="0" distB="0" distL="114300" distR="114300">
            <wp:extent cx="5271135" cy="4972685"/>
            <wp:effectExtent l="0" t="0" r="5715" b="18415"/>
            <wp:docPr id="7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97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Default="009577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Pr="009577D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Точка пересечения на диаграмме Вольперта-Смита</w:t>
      </w:r>
    </w:p>
    <w:p w:rsidR="004C5944" w:rsidRPr="009577D6" w:rsidRDefault="004C5944">
      <w:pPr>
        <w:jc w:val="center"/>
      </w:pPr>
    </w:p>
    <w:p w:rsidR="004C5944" w:rsidRDefault="004C5944">
      <w:pPr>
        <w:spacing w:beforeAutospacing="1" w:after="0" w:afterAutospacing="1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4C5944" w:rsidRDefault="009577D6">
      <w:pPr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6"/>
          <w:szCs w:val="26"/>
        </w:rPr>
        <w:t>𝑍н</w:t>
      </w:r>
      <w:r w:rsidRPr="009577D6">
        <w:rPr>
          <w:rFonts w:ascii="Cambria" w:eastAsia="Cambria" w:hAnsi="Cambria" w:cs="Cambria"/>
          <w:color w:val="000000"/>
          <w:sz w:val="26"/>
          <w:szCs w:val="26"/>
        </w:rPr>
        <w:t>/</w:t>
      </w:r>
      <w:r>
        <w:rPr>
          <w:rFonts w:ascii="Cambria" w:eastAsia="Cambria" w:hAnsi="Cambria" w:cs="Cambria"/>
          <w:color w:val="000000"/>
          <w:sz w:val="26"/>
          <w:szCs w:val="26"/>
        </w:rPr>
        <w:t>𝑊</w:t>
      </w:r>
      <w:r w:rsidRPr="009577D6">
        <w:rPr>
          <w:rFonts w:ascii="Cambria" w:eastAsia="Cambria" w:hAnsi="Cambria" w:cs="Cambria"/>
          <w:color w:val="000000"/>
          <w:sz w:val="26"/>
          <w:szCs w:val="26"/>
        </w:rPr>
        <w:t xml:space="preserve"> = </w:t>
      </w:r>
      <w:r>
        <w:rPr>
          <w:rFonts w:ascii="Cambria" w:eastAsia="Cambria" w:hAnsi="Cambria" w:cs="Cambria"/>
          <w:color w:val="000000"/>
          <w:sz w:val="28"/>
          <w:szCs w:val="28"/>
        </w:rPr>
        <w:t>𝑧̇</w:t>
      </w:r>
      <w:r>
        <w:rPr>
          <w:rFonts w:ascii="Times New Roman" w:eastAsia="SimSun" w:hAnsi="Times New Roman" w:cs="Times New Roman"/>
          <w:color w:val="000000"/>
          <w:sz w:val="28"/>
          <w:szCs w:val="28"/>
          <w:vertAlign w:val="subscript"/>
        </w:rPr>
        <w:t xml:space="preserve">н </w:t>
      </w:r>
      <w:r>
        <w:rPr>
          <w:rFonts w:ascii="Cambria" w:eastAsia="Cambria" w:hAnsi="Cambria" w:cs="Cambria"/>
          <w:color w:val="000000"/>
          <w:sz w:val="28"/>
          <w:szCs w:val="28"/>
        </w:rPr>
        <w:t>= 0,</w:t>
      </w:r>
      <w:r w:rsidRPr="009577D6">
        <w:rPr>
          <w:rFonts w:ascii="Cambria" w:eastAsia="Cambria" w:hAnsi="Cambria" w:cs="Cambria"/>
          <w:color w:val="000000"/>
          <w:sz w:val="28"/>
          <w:szCs w:val="28"/>
        </w:rPr>
        <w:t>525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 w:rsidRPr="009577D6">
        <w:rPr>
          <w:rFonts w:ascii="Cambria" w:eastAsia="Cambria" w:hAnsi="Cambria" w:cs="Cambria"/>
          <w:color w:val="000000"/>
          <w:sz w:val="28"/>
          <w:szCs w:val="28"/>
        </w:rPr>
        <w:t>- 1,23</w:t>
      </w:r>
      <w:r>
        <w:rPr>
          <w:rFonts w:ascii="Cambria" w:eastAsia="Cambria" w:hAnsi="Cambria" w:cs="Cambria"/>
          <w:color w:val="000000"/>
          <w:sz w:val="28"/>
          <w:szCs w:val="28"/>
        </w:rPr>
        <w:t>𝑖,</w:t>
      </w:r>
    </w:p>
    <w:p w:rsidR="004C5944" w:rsidRPr="009577D6" w:rsidRDefault="009577D6">
      <w:pPr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lastRenderedPageBreak/>
        <w:t>Откуда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</w:rPr>
        <w:t xml:space="preserve"> : </w:t>
      </w:r>
    </w:p>
    <w:p w:rsidR="004C5944" w:rsidRDefault="009577D6">
      <w:pPr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6"/>
          <w:szCs w:val="26"/>
        </w:rPr>
        <w:t>𝑍н</w:t>
      </w:r>
      <w:r w:rsidRPr="009577D6">
        <w:rPr>
          <w:rFonts w:ascii="Cambria" w:eastAsia="Cambria" w:hAnsi="Cambria" w:cs="Cambria"/>
          <w:color w:val="000000"/>
          <w:sz w:val="26"/>
          <w:szCs w:val="26"/>
        </w:rPr>
        <w:t xml:space="preserve"> =26,25 - 61,5</w:t>
      </w:r>
      <w:r>
        <w:rPr>
          <w:rFonts w:ascii="Cambria" w:eastAsia="Cambria" w:hAnsi="Cambria" w:cs="Cambria"/>
          <w:color w:val="000000"/>
          <w:sz w:val="28"/>
          <w:szCs w:val="28"/>
        </w:rPr>
        <w:t>𝑖</w:t>
      </w:r>
    </w:p>
    <w:p w:rsidR="004C5944" w:rsidRDefault="004C5944">
      <w:pPr>
        <w:rPr>
          <w:rFonts w:ascii="Cambria" w:eastAsia="Cambria" w:hAnsi="Cambria" w:cs="Cambria"/>
          <w:color w:val="000000"/>
          <w:sz w:val="26"/>
          <w:szCs w:val="26"/>
        </w:rPr>
      </w:pPr>
    </w:p>
    <w:p w:rsidR="004C5944" w:rsidRDefault="004C5944">
      <w:pPr>
        <w:jc w:val="center"/>
      </w:pPr>
    </w:p>
    <w:p w:rsidR="004C5944" w:rsidRDefault="009577D6"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Используя данные, полученные в пункте 1, рассчитать нормирован- </w:t>
      </w:r>
    </w:p>
    <w:p w:rsidR="004C5944" w:rsidRDefault="009577D6"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ное входное сопротивление линии в пределах полуволны с шагом 0,05</w:t>
      </w:r>
      <w:r>
        <w:rPr>
          <w:rFonts w:ascii="Symbol" w:eastAsia="SimSun" w:hAnsi="Symbol" w:cs="Symbol"/>
          <w:color w:val="000000"/>
          <w:sz w:val="28"/>
          <w:szCs w:val="28"/>
          <w:lang w:val="en-US" w:eastAsia="zh-CN" w:bidi="ar"/>
        </w:rPr>
        <w:t></w:t>
      </w:r>
      <w:r>
        <w:rPr>
          <w:rFonts w:ascii="Symbol" w:eastAsia="SimSun" w:hAnsi="Symbol" w:cs="Symbol"/>
          <w:color w:val="000000"/>
          <w:sz w:val="28"/>
          <w:szCs w:val="28"/>
          <w:lang w:val="en-US" w:eastAsia="zh-CN" w:bidi="ar"/>
        </w:rPr>
        <w:t>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от нагрузки в сторону генератора.</w:t>
      </w:r>
    </w:p>
    <w:p w:rsidR="004C5944" w:rsidRDefault="004C5944">
      <w:pPr>
        <w:jc w:val="both"/>
      </w:pPr>
    </w:p>
    <w:tbl>
      <w:tblPr>
        <w:tblW w:w="9050" w:type="dxa"/>
        <w:tblInd w:w="-1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701"/>
        <w:gridCol w:w="766"/>
        <w:gridCol w:w="666"/>
        <w:gridCol w:w="750"/>
        <w:gridCol w:w="934"/>
        <w:gridCol w:w="1000"/>
        <w:gridCol w:w="833"/>
        <w:gridCol w:w="883"/>
        <w:gridCol w:w="967"/>
        <w:gridCol w:w="867"/>
      </w:tblGrid>
      <w:tr w:rsidR="004C5944">
        <w:trPr>
          <w:trHeight w:val="360"/>
        </w:trPr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Δl/Λ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0.04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0.09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0.14</w:t>
            </w:r>
          </w:p>
        </w:tc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0.19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0.24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0.29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0.34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0.39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0.44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0.49</w:t>
            </w:r>
          </w:p>
        </w:tc>
      </w:tr>
      <w:tr w:rsidR="004C5944">
        <w:trPr>
          <w:trHeight w:val="360"/>
        </w:trPr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="40" w:beforeAutospacing="0" w:afterAutospacing="0" w:line="0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R′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0,21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0,48</w:t>
            </w:r>
          </w:p>
        </w:tc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1,2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4,79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1,98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0,61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0,34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0,26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0,2</w:t>
            </w:r>
          </w:p>
        </w:tc>
      </w:tr>
      <w:tr w:rsidR="004C5944">
        <w:trPr>
          <w:trHeight w:val="360"/>
        </w:trPr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="40" w:beforeAutospacing="0" w:afterAutospacing="0" w:line="0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X′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0,258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0,601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</w:t>
            </w:r>
          </w:p>
        </w:tc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1,95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−2,34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−1,39</w:t>
            </w:r>
          </w:p>
        </w:tc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−0,77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-0,37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C5944" w:rsidRDefault="009577D6">
            <w:pPr>
              <w:pStyle w:val="a6"/>
              <w:spacing w:beforeAutospacing="0" w:afterAutospacing="0" w:line="15" w:lineRule="atLeast"/>
              <w:ind w:left="20"/>
              <w:jc w:val="center"/>
              <w:rPr>
                <w:sz w:val="28"/>
                <w:szCs w:val="28"/>
              </w:rPr>
            </w:pPr>
            <w:r>
              <w:rPr>
                <w:rFonts w:eastAsia="Cambria"/>
                <w:color w:val="000000"/>
                <w:sz w:val="28"/>
                <w:szCs w:val="28"/>
              </w:rPr>
              <w:t>0,048</w:t>
            </w:r>
          </w:p>
        </w:tc>
      </w:tr>
    </w:tbl>
    <w:p w:rsidR="004C5944" w:rsidRDefault="004C59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5944" w:rsidRDefault="004C59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5944" w:rsidRDefault="009577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4777105" cy="4301490"/>
            <wp:effectExtent l="0" t="0" r="4445" b="381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77105" cy="43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Default="009577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Pr="00957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.3. Много точек пересечения на диаграмме Вольперта-Смита</w:t>
      </w:r>
    </w:p>
    <w:p w:rsidR="004C5944" w:rsidRDefault="004C5944">
      <w:pPr>
        <w:jc w:val="center"/>
      </w:pPr>
    </w:p>
    <w:p w:rsidR="004C5944" w:rsidRDefault="004C5944">
      <w:pPr>
        <w:jc w:val="center"/>
      </w:pPr>
    </w:p>
    <w:p w:rsidR="004C5944" w:rsidRDefault="004C5944">
      <w:pPr>
        <w:jc w:val="both"/>
      </w:pPr>
    </w:p>
    <w:p w:rsidR="004C5944" w:rsidRDefault="009577D6">
      <w:r>
        <w:rPr>
          <w:rFonts w:ascii="Times New Roman" w:eastAsia="Cambria" w:hAnsi="Times New Roman" w:cs="Times New Roman"/>
          <w:color w:val="000000"/>
          <w:sz w:val="28"/>
          <w:szCs w:val="28"/>
          <w:lang w:val="en-US"/>
        </w:rPr>
        <w:t>R</w:t>
      </w:r>
    </w:p>
    <w:p w:rsidR="004C5944" w:rsidRDefault="009577D6">
      <w:pPr>
        <w:jc w:val="center"/>
      </w:pPr>
      <w:r>
        <w:rPr>
          <w:noProof/>
          <w:lang w:eastAsia="ru-RU"/>
        </w:rPr>
        <w:drawing>
          <wp:inline distT="0" distB="0" distL="114300" distR="114300">
            <wp:extent cx="4609465" cy="3378200"/>
            <wp:effectExtent l="0" t="0" r="635" b="12700"/>
            <wp:docPr id="4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9465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Default="009577D6">
      <w:pPr>
        <w:jc w:val="center"/>
      </w:pPr>
      <w:r>
        <w:rPr>
          <w:rFonts w:ascii="Times New Roman" w:eastAsia="Cambria" w:hAnsi="Times New Roman" w:cs="Times New Roman"/>
          <w:color w:val="000000"/>
          <w:sz w:val="28"/>
          <w:szCs w:val="28"/>
        </w:rPr>
        <w:t>Δ</w:t>
      </w:r>
      <w:r>
        <w:rPr>
          <w:rFonts w:ascii="Times New Roman" w:eastAsia="Cambria" w:hAnsi="Times New Roman" w:cs="Times New Roman"/>
          <w:color w:val="000000"/>
          <w:sz w:val="28"/>
          <w:szCs w:val="28"/>
          <w:lang w:val="en-US"/>
        </w:rPr>
        <w:t>l</w:t>
      </w:r>
      <w:r>
        <w:rPr>
          <w:rFonts w:ascii="Times New Roman" w:eastAsia="Cambria" w:hAnsi="Times New Roman" w:cs="Times New Roman"/>
          <w:color w:val="000000"/>
          <w:sz w:val="28"/>
          <w:szCs w:val="28"/>
        </w:rPr>
        <w:t>/Λ</w:t>
      </w:r>
    </w:p>
    <w:p w:rsidR="004C5944" w:rsidRPr="009577D6" w:rsidRDefault="009577D6">
      <w:pPr>
        <w:pStyle w:val="a6"/>
        <w:spacing w:beforeAutospacing="0" w:afterAutospacing="0" w:line="15" w:lineRule="atLeast"/>
        <w:ind w:left="880" w:right="880"/>
        <w:jc w:val="center"/>
        <w:rPr>
          <w:sz w:val="28"/>
          <w:szCs w:val="28"/>
          <w:lang w:val="ru-RU"/>
        </w:rPr>
      </w:pPr>
      <w:r w:rsidRPr="009577D6">
        <w:rPr>
          <w:i/>
          <w:iCs/>
          <w:color w:val="000000"/>
          <w:sz w:val="28"/>
          <w:szCs w:val="28"/>
          <w:lang w:val="ru-RU"/>
        </w:rPr>
        <w:t xml:space="preserve">Рис. 4. График </w:t>
      </w:r>
      <w:r>
        <w:rPr>
          <w:rFonts w:eastAsia="Cambria"/>
          <w:color w:val="000000"/>
          <w:sz w:val="28"/>
          <w:szCs w:val="28"/>
        </w:rPr>
        <w:t>R</w:t>
      </w:r>
      <w:r w:rsidRPr="009577D6">
        <w:rPr>
          <w:rFonts w:eastAsia="Cambria"/>
          <w:color w:val="000000"/>
          <w:sz w:val="28"/>
          <w:szCs w:val="28"/>
          <w:vertAlign w:val="superscript"/>
          <w:lang w:val="ru-RU"/>
        </w:rPr>
        <w:t>′</w:t>
      </w:r>
      <w:r w:rsidRPr="009577D6">
        <w:rPr>
          <w:rFonts w:eastAsia="Cambria"/>
          <w:color w:val="000000"/>
          <w:sz w:val="28"/>
          <w:szCs w:val="28"/>
          <w:lang w:val="ru-RU"/>
        </w:rPr>
        <w:t>(</w:t>
      </w:r>
      <w:r>
        <w:rPr>
          <w:rFonts w:eastAsia="Cambria"/>
          <w:color w:val="000000"/>
          <w:sz w:val="28"/>
          <w:szCs w:val="28"/>
        </w:rPr>
        <w:t>Δl</w:t>
      </w:r>
      <w:r w:rsidRPr="009577D6">
        <w:rPr>
          <w:rFonts w:eastAsia="Cambria"/>
          <w:color w:val="000000"/>
          <w:sz w:val="28"/>
          <w:szCs w:val="28"/>
          <w:lang w:val="ru-RU"/>
        </w:rPr>
        <w:t>/</w:t>
      </w:r>
      <w:r>
        <w:rPr>
          <w:rFonts w:eastAsia="Cambria"/>
          <w:color w:val="000000"/>
          <w:sz w:val="28"/>
          <w:szCs w:val="28"/>
        </w:rPr>
        <w:t>Λ</w:t>
      </w:r>
      <w:r w:rsidRPr="009577D6">
        <w:rPr>
          <w:rFonts w:eastAsia="Cambria"/>
          <w:color w:val="000000"/>
          <w:sz w:val="28"/>
          <w:szCs w:val="28"/>
          <w:lang w:val="ru-RU"/>
        </w:rPr>
        <w:t xml:space="preserve">) </w:t>
      </w:r>
      <w:r w:rsidRPr="009577D6">
        <w:rPr>
          <w:i/>
          <w:iCs/>
          <w:color w:val="000000"/>
          <w:sz w:val="28"/>
          <w:szCs w:val="28"/>
          <w:lang w:val="ru-RU"/>
        </w:rPr>
        <w:t>(активная составляющая)</w:t>
      </w:r>
    </w:p>
    <w:p w:rsidR="004C5944" w:rsidRDefault="004C59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5944" w:rsidRDefault="009577D6">
      <w:r>
        <w:rPr>
          <w:rFonts w:ascii="Times New Roman" w:eastAsia="Cambria" w:hAnsi="Times New Roman" w:cs="Times New Roman"/>
          <w:color w:val="000000"/>
          <w:sz w:val="28"/>
          <w:szCs w:val="28"/>
          <w:lang w:val="en-US"/>
        </w:rPr>
        <w:t>R</w:t>
      </w:r>
    </w:p>
    <w:p w:rsidR="004C5944" w:rsidRDefault="009577D6">
      <w:pPr>
        <w:jc w:val="center"/>
      </w:pPr>
      <w:r>
        <w:rPr>
          <w:noProof/>
          <w:lang w:eastAsia="ru-RU"/>
        </w:rPr>
        <w:drawing>
          <wp:inline distT="0" distB="0" distL="114300" distR="114300">
            <wp:extent cx="4655185" cy="2916555"/>
            <wp:effectExtent l="0" t="0" r="12065" b="17145"/>
            <wp:docPr id="8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55185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Default="009577D6">
      <w:pPr>
        <w:jc w:val="center"/>
      </w:pPr>
      <w:r>
        <w:rPr>
          <w:rFonts w:ascii="Times New Roman" w:eastAsia="Cambria" w:hAnsi="Times New Roman" w:cs="Times New Roman"/>
          <w:color w:val="000000"/>
          <w:sz w:val="28"/>
          <w:szCs w:val="28"/>
        </w:rPr>
        <w:t>Δ</w:t>
      </w:r>
      <w:r>
        <w:rPr>
          <w:rFonts w:ascii="Times New Roman" w:eastAsia="Cambria" w:hAnsi="Times New Roman" w:cs="Times New Roman"/>
          <w:color w:val="000000"/>
          <w:sz w:val="28"/>
          <w:szCs w:val="28"/>
          <w:lang w:val="en-US"/>
        </w:rPr>
        <w:t>l</w:t>
      </w:r>
      <w:r>
        <w:rPr>
          <w:rFonts w:ascii="Times New Roman" w:eastAsia="Cambria" w:hAnsi="Times New Roman" w:cs="Times New Roman"/>
          <w:color w:val="000000"/>
          <w:sz w:val="28"/>
          <w:szCs w:val="28"/>
        </w:rPr>
        <w:t>/Λ</w:t>
      </w:r>
    </w:p>
    <w:p w:rsidR="004C5944" w:rsidRDefault="009577D6">
      <w:pPr>
        <w:jc w:val="center"/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Рис.</w:t>
      </w:r>
      <w:r w:rsidRPr="009577D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5. График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X</w:t>
      </w:r>
      <w:r>
        <w:rPr>
          <w:rFonts w:ascii="Times New Roman" w:eastAsia="Cambria" w:hAnsi="Times New Roman" w:cs="Times New Roman"/>
          <w:color w:val="000000"/>
          <w:sz w:val="28"/>
          <w:szCs w:val="28"/>
          <w:vertAlign w:val="superscript"/>
        </w:rPr>
        <w:t>′</w:t>
      </w:r>
      <w:r>
        <w:rPr>
          <w:rFonts w:ascii="Times New Roman" w:eastAsia="Cambria" w:hAnsi="Times New Roman" w:cs="Times New Roman"/>
          <w:color w:val="000000"/>
          <w:sz w:val="28"/>
          <w:szCs w:val="28"/>
        </w:rPr>
        <w:t>(Δ</w:t>
      </w:r>
      <w:r>
        <w:rPr>
          <w:rFonts w:ascii="Times New Roman" w:eastAsia="Cambria" w:hAnsi="Times New Roman" w:cs="Times New Roman"/>
          <w:color w:val="000000"/>
          <w:sz w:val="28"/>
          <w:szCs w:val="28"/>
          <w:lang w:val="en-US"/>
        </w:rPr>
        <w:t>l</w:t>
      </w:r>
      <w:r>
        <w:rPr>
          <w:rFonts w:ascii="Times New Roman" w:eastAsia="Cambria" w:hAnsi="Times New Roman" w:cs="Times New Roman"/>
          <w:color w:val="000000"/>
          <w:sz w:val="28"/>
          <w:szCs w:val="28"/>
        </w:rPr>
        <w:t xml:space="preserve">/Λ)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(реактивная составляющая)</w:t>
      </w:r>
    </w:p>
    <w:p w:rsidR="004C5944" w:rsidRDefault="004C5944">
      <w:pPr>
        <w:jc w:val="both"/>
      </w:pPr>
    </w:p>
    <w:p w:rsidR="004C5944" w:rsidRDefault="009577D6">
      <w:pPr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  <w:t>Создание RLC-цепи</w:t>
      </w:r>
    </w:p>
    <w:p w:rsidR="004C5944" w:rsidRDefault="009577D6"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Выберем в качестве нагрузки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en-US" w:eastAsia="zh-CN" w:bidi="ar"/>
        </w:rPr>
        <w:t>RLC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-цепь, резонансная частота кото- </w:t>
      </w:r>
    </w:p>
    <w:p w:rsidR="004C5944" w:rsidRDefault="009577D6"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рой лежит в области 1 ГГц. Параметры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en-US" w:eastAsia="zh-CN" w:bidi="ar"/>
        </w:rPr>
        <w:t>RLC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-цепи выбираются по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варианту.</w:t>
      </w:r>
    </w:p>
    <w:p w:rsidR="004C5944" w:rsidRDefault="004C5944">
      <w:pPr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</w:pPr>
    </w:p>
    <w:p w:rsidR="004C5944" w:rsidRDefault="009577D6">
      <w:pPr>
        <w:jc w:val="center"/>
      </w:pPr>
      <w:r>
        <w:rPr>
          <w:noProof/>
          <w:lang w:eastAsia="ru-RU"/>
        </w:rPr>
        <w:drawing>
          <wp:inline distT="0" distB="0" distL="114300" distR="114300">
            <wp:extent cx="5048250" cy="5276850"/>
            <wp:effectExtent l="0" t="0" r="0" b="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Default="009577D6">
      <w:pPr>
        <w:jc w:val="center"/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Рис.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 xml:space="preserve"> 6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en-US" w:eastAsia="zh-CN" w:bidi="ar"/>
        </w:rPr>
        <w:t xml:space="preserve"> RLC-цеп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ь</w:t>
      </w:r>
    </w:p>
    <w:p w:rsidR="004C5944" w:rsidRDefault="004C5944">
      <w:pPr>
        <w:jc w:val="center"/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</w:p>
    <w:p w:rsidR="004C5944" w:rsidRDefault="004C5944">
      <w:pPr>
        <w:jc w:val="center"/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</w:p>
    <w:p w:rsidR="004C5944" w:rsidRDefault="004C5944">
      <w:pPr>
        <w:jc w:val="center"/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</w:p>
    <w:p w:rsidR="004C5944" w:rsidRDefault="009577D6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114300" distR="114300">
            <wp:extent cx="5269865" cy="3843020"/>
            <wp:effectExtent l="0" t="0" r="6985" b="508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4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Pr="009577D6" w:rsidRDefault="009577D6">
      <w:pPr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Рис.</w:t>
      </w:r>
      <w:r w:rsidRPr="009577D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7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Pr="009577D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График активной и реактивной составляющих вблизи 1 ГГц</w:t>
      </w:r>
    </w:p>
    <w:p w:rsidR="004C5944" w:rsidRPr="009577D6" w:rsidRDefault="004C5944">
      <w:pPr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4C5944" w:rsidRPr="009577D6" w:rsidRDefault="004C5944">
      <w:pPr>
        <w:jc w:val="center"/>
        <w:rPr>
          <w:sz w:val="28"/>
          <w:szCs w:val="28"/>
        </w:rPr>
      </w:pPr>
    </w:p>
    <w:p w:rsidR="004C5944" w:rsidRDefault="004C5944">
      <w:pPr>
        <w:rPr>
          <w:sz w:val="28"/>
          <w:szCs w:val="28"/>
          <w:lang w:eastAsia="zh-CN"/>
        </w:rPr>
      </w:pPr>
    </w:p>
    <w:p w:rsidR="004C5944" w:rsidRDefault="009577D6">
      <w:pPr>
        <w:rPr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 w:bidi="ar"/>
        </w:rPr>
        <w:t>И</w:t>
      </w:r>
      <w:r w:rsidRPr="009577D6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 w:bidi="ar"/>
        </w:rPr>
        <w:t xml:space="preserve">сходная точка 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проводимости : </w:t>
      </w:r>
      <w:r>
        <w:rPr>
          <w:rFonts w:ascii="Cambria" w:eastAsia="Cambria" w:hAnsi="Cambria" w:cs="Cambria"/>
          <w:color w:val="000000"/>
          <w:sz w:val="28"/>
          <w:szCs w:val="28"/>
        </w:rPr>
        <w:t>𝑦</w:t>
      </w:r>
      <w:r>
        <w:rPr>
          <w:rFonts w:ascii="Times New Roman" w:eastAsia="SimSun" w:hAnsi="Times New Roman" w:cs="Times New Roman"/>
          <w:color w:val="000000"/>
          <w:sz w:val="28"/>
          <w:szCs w:val="28"/>
          <w:vertAlign w:val="subscript"/>
        </w:rPr>
        <w:t xml:space="preserve">н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= 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0,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09028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+ 𝑗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0,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4204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</w:rPr>
        <w:t>См</w:t>
      </w:r>
    </w:p>
    <w:p w:rsidR="004C5944" w:rsidRPr="009577D6" w:rsidRDefault="009577D6">
      <w:pP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норми-рование сводится к делению полученных проводимостей назначение 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en-US" w:eastAsia="zh-CN" w:bidi="ar"/>
        </w:rPr>
        <w:t>Y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vertAlign w:val="subscript"/>
          <w:lang w:eastAsia="zh-CN" w:bidi="ar"/>
        </w:rPr>
        <w:t>л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=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0,02 См. </w:t>
      </w:r>
    </w:p>
    <w:p w:rsidR="004C5944" w:rsidRDefault="009577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 w:bidi="ar"/>
        </w:rPr>
        <w:t>Н</w:t>
      </w:r>
      <w:r w:rsidRPr="009577D6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 w:bidi="ar"/>
        </w:rPr>
        <w:t xml:space="preserve">ормализованная исходная точка 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проводимости : 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en-US" w:eastAsia="zh-CN" w:bidi="ar"/>
        </w:rPr>
        <w:t>y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vertAlign w:val="subscript"/>
          <w:lang w:eastAsia="zh-CN" w:bidi="ar"/>
        </w:rPr>
        <w:t>н’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= 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eastAsia="zh-CN" w:bidi="ar"/>
        </w:rPr>
        <w:t>4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514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+</w:t>
      </w:r>
      <w:r w:rsidRPr="009577D6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eastAsia="zh-CN" w:bidi="ar"/>
        </w:rPr>
        <w:t xml:space="preserve"> 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en-US" w:eastAsia="zh-CN" w:bidi="ar"/>
        </w:rPr>
        <w:t>j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2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1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02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. </w:t>
      </w:r>
    </w:p>
    <w:p w:rsidR="004C5944" w:rsidRDefault="004C59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5944" w:rsidRDefault="004C5944">
      <w:pPr>
        <w:jc w:val="center"/>
      </w:pPr>
    </w:p>
    <w:p w:rsidR="004C5944" w:rsidRDefault="009577D6">
      <w:pPr>
        <w:jc w:val="center"/>
      </w:pPr>
      <w:r>
        <w:rPr>
          <w:noProof/>
          <w:lang w:eastAsia="ru-RU"/>
        </w:rPr>
        <w:lastRenderedPageBreak/>
        <w:drawing>
          <wp:inline distT="0" distB="0" distL="114300" distR="114300">
            <wp:extent cx="5273040" cy="4256405"/>
            <wp:effectExtent l="0" t="0" r="3810" b="10795"/>
            <wp:docPr id="10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25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Default="009577D6">
      <w:pPr>
        <w:jc w:val="center"/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Рис.</w:t>
      </w:r>
      <w:r w:rsidRPr="009577D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8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Pr="009577D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Диаграмма Вольперта-Смита</w:t>
      </w:r>
    </w:p>
    <w:p w:rsidR="004C5944" w:rsidRDefault="004C5944">
      <w:pPr>
        <w:jc w:val="center"/>
      </w:pPr>
    </w:p>
    <w:p w:rsidR="004C5944" w:rsidRDefault="009577D6">
      <w:pPr>
        <w:rPr>
          <w:rFonts w:ascii="Cambria" w:eastAsia="Cambria" w:hAnsi="Cambria" w:cs="Cambria"/>
          <w:color w:val="000000"/>
          <w:sz w:val="26"/>
          <w:szCs w:val="26"/>
        </w:rPr>
      </w:pPr>
      <w:r>
        <w:rPr>
          <w:rFonts w:ascii="Cambria" w:eastAsia="Cambria" w:hAnsi="Cambria" w:cs="Cambria"/>
          <w:color w:val="000000"/>
          <w:sz w:val="26"/>
          <w:szCs w:val="26"/>
        </w:rPr>
        <w:t>Δ𝑙 = 0,2</w:t>
      </w:r>
      <w:r w:rsidRPr="009577D6">
        <w:rPr>
          <w:rFonts w:ascii="Cambria" w:eastAsia="Cambria" w:hAnsi="Cambria" w:cs="Cambria"/>
          <w:color w:val="000000"/>
          <w:sz w:val="26"/>
          <w:szCs w:val="26"/>
        </w:rPr>
        <w:t>65</w:t>
      </w:r>
      <w:r>
        <w:rPr>
          <w:rFonts w:ascii="Cambria" w:eastAsia="Cambria" w:hAnsi="Cambria" w:cs="Cambria"/>
          <w:color w:val="000000"/>
          <w:sz w:val="26"/>
          <w:szCs w:val="26"/>
        </w:rPr>
        <w:t xml:space="preserve"> − 0,2</w:t>
      </w:r>
      <w:r w:rsidRPr="009577D6">
        <w:rPr>
          <w:rFonts w:ascii="Cambria" w:eastAsia="Cambria" w:hAnsi="Cambria" w:cs="Cambria"/>
          <w:color w:val="000000"/>
          <w:sz w:val="26"/>
          <w:szCs w:val="26"/>
        </w:rPr>
        <w:t>42</w:t>
      </w:r>
      <w:r>
        <w:rPr>
          <w:rFonts w:ascii="Cambria" w:eastAsia="Cambria" w:hAnsi="Cambria" w:cs="Cambria"/>
          <w:color w:val="000000"/>
          <w:sz w:val="26"/>
          <w:szCs w:val="26"/>
        </w:rPr>
        <w:t xml:space="preserve"> = 0,0</w:t>
      </w:r>
      <w:r w:rsidRPr="009577D6">
        <w:rPr>
          <w:rFonts w:ascii="Cambria" w:eastAsia="Cambria" w:hAnsi="Cambria" w:cs="Cambria"/>
          <w:color w:val="000000"/>
          <w:sz w:val="26"/>
          <w:szCs w:val="26"/>
        </w:rPr>
        <w:t>23</w:t>
      </w:r>
      <w:r>
        <w:rPr>
          <w:rFonts w:ascii="Cambria" w:eastAsia="Cambria" w:hAnsi="Cambria" w:cs="Cambria"/>
          <w:color w:val="000000"/>
          <w:sz w:val="26"/>
          <w:szCs w:val="26"/>
        </w:rPr>
        <w:t xml:space="preserve"> 𝜆 = </w:t>
      </w:r>
      <w:r w:rsidRPr="009577D6">
        <w:rPr>
          <w:rFonts w:ascii="Cambria" w:eastAsia="Cambria" w:hAnsi="Cambria" w:cs="Cambria"/>
          <w:color w:val="000000"/>
          <w:sz w:val="26"/>
          <w:szCs w:val="26"/>
        </w:rPr>
        <w:t>8.28</w:t>
      </w:r>
      <w:r>
        <w:rPr>
          <w:rFonts w:ascii="Cambria" w:eastAsia="Cambria" w:hAnsi="Cambria" w:cs="Cambria"/>
          <w:color w:val="000000"/>
          <w:sz w:val="26"/>
          <w:szCs w:val="26"/>
        </w:rPr>
        <w:t xml:space="preserve"> °</w:t>
      </w:r>
    </w:p>
    <w:p w:rsidR="004C5944" w:rsidRDefault="004C5944">
      <w:pPr>
        <w:rPr>
          <w:rFonts w:ascii="Cambria" w:eastAsia="Cambria" w:hAnsi="Cambria" w:cs="Cambria"/>
          <w:color w:val="000000"/>
          <w:sz w:val="26"/>
          <w:szCs w:val="26"/>
        </w:rPr>
      </w:pPr>
    </w:p>
    <w:p w:rsidR="004C5944" w:rsidRDefault="004C5944">
      <w:pPr>
        <w:rPr>
          <w:rFonts w:ascii="Cambria" w:eastAsia="Cambria" w:hAnsi="Cambria" w:cs="Cambria"/>
          <w:color w:val="000000"/>
          <w:sz w:val="26"/>
          <w:szCs w:val="26"/>
        </w:rPr>
      </w:pPr>
    </w:p>
    <w:p w:rsidR="004C5944" w:rsidRDefault="009577D6"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В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ключи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ли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трансформирующий отрезок линии в данную схе- </w:t>
      </w:r>
    </w:p>
    <w:p w:rsidR="004C5944" w:rsidRDefault="009577D6"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му.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В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ведем электрическую длину (в данном случае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8.28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°) и частоту (1000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en-US" w:eastAsia="zh-CN" w:bidi="ar"/>
        </w:rPr>
        <w:t>MHz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). Волновое сопротивление линии должно равняться волновому сопротивлению порта – 50 Ом.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П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ровери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м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величину проводимости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.</w:t>
      </w:r>
    </w:p>
    <w:p w:rsidR="004C5944" w:rsidRDefault="009577D6"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</w:t>
      </w:r>
    </w:p>
    <w:p w:rsidR="004C5944" w:rsidRDefault="004C5944">
      <w:pPr>
        <w:rPr>
          <w:rFonts w:ascii="Cambria" w:eastAsia="Cambria" w:hAnsi="Cambria" w:cs="Cambria"/>
          <w:color w:val="000000"/>
          <w:sz w:val="26"/>
          <w:szCs w:val="26"/>
        </w:rPr>
      </w:pPr>
    </w:p>
    <w:p w:rsidR="004C5944" w:rsidRDefault="009577D6">
      <w:pPr>
        <w:jc w:val="center"/>
      </w:pPr>
      <w:r>
        <w:rPr>
          <w:noProof/>
          <w:lang w:eastAsia="ru-RU"/>
        </w:rPr>
        <w:lastRenderedPageBreak/>
        <w:drawing>
          <wp:inline distT="0" distB="0" distL="114300" distR="114300">
            <wp:extent cx="5268595" cy="3876675"/>
            <wp:effectExtent l="0" t="0" r="8255" b="9525"/>
            <wp:docPr id="11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Pr="009577D6" w:rsidRDefault="009577D6">
      <w:pPr>
        <w:pStyle w:val="a6"/>
        <w:spacing w:before="100" w:beforeAutospacing="0" w:afterAutospacing="0" w:line="15" w:lineRule="atLeast"/>
        <w:ind w:left="960"/>
        <w:rPr>
          <w:sz w:val="28"/>
          <w:szCs w:val="28"/>
          <w:lang w:val="ru-RU"/>
        </w:rPr>
      </w:pPr>
      <w:r w:rsidRPr="009577D6">
        <w:rPr>
          <w:i/>
          <w:iCs/>
          <w:color w:val="000000"/>
          <w:sz w:val="28"/>
          <w:szCs w:val="28"/>
          <w:lang w:val="ru-RU"/>
        </w:rPr>
        <w:t xml:space="preserve">Рис. </w:t>
      </w:r>
      <w:r>
        <w:rPr>
          <w:i/>
          <w:iCs/>
          <w:color w:val="000000"/>
          <w:sz w:val="28"/>
          <w:szCs w:val="28"/>
          <w:lang w:val="ru-RU"/>
        </w:rPr>
        <w:t>9</w:t>
      </w:r>
      <w:r w:rsidRPr="009577D6">
        <w:rPr>
          <w:i/>
          <w:iCs/>
          <w:color w:val="000000"/>
          <w:sz w:val="28"/>
          <w:szCs w:val="28"/>
          <w:lang w:val="ru-RU"/>
        </w:rPr>
        <w:t>. График активной и реактивной составляющих при наличии шлейфа</w:t>
      </w:r>
    </w:p>
    <w:p w:rsidR="004C5944" w:rsidRDefault="004C5944">
      <w:pPr>
        <w:jc w:val="center"/>
      </w:pPr>
    </w:p>
    <w:p w:rsidR="004C5944" w:rsidRDefault="004C5944"/>
    <w:p w:rsidR="004C5944" w:rsidRDefault="009577D6">
      <w:p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t>На частоте 1 ГГц вещественная часть проводимости равна 0.0</w:t>
      </w:r>
      <w:r w:rsidRPr="009577D6">
        <w:rPr>
          <w:rFonts w:ascii="Times New Roman" w:eastAsia="SimSun" w:hAnsi="Times New Roman" w:cs="Times New Roman"/>
          <w:color w:val="000000"/>
          <w:sz w:val="26"/>
          <w:szCs w:val="26"/>
        </w:rPr>
        <w:t>1965</w:t>
      </w:r>
      <w:r>
        <w:rPr>
          <w:rFonts w:ascii="Times New Roman" w:eastAsia="SimSun" w:hAnsi="Times New Roman" w:cs="Times New Roman"/>
          <w:color w:val="000000"/>
          <w:sz w:val="26"/>
          <w:szCs w:val="26"/>
        </w:rPr>
        <w:t xml:space="preserve"> См, т.е. практически равна волновой проводимости. То есть мы согласовали активную составляющую.</w:t>
      </w:r>
    </w:p>
    <w:p w:rsidR="004C5944" w:rsidRDefault="004C5944">
      <w:pPr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Pr="009577D6" w:rsidRDefault="004C5944">
      <w:pP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</w:p>
    <w:p w:rsidR="004C5944" w:rsidRDefault="009577D6"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Далее снова нормируем полученные проводимости, компенсируем индуктивную проводимость ёмкостной, определим еще одну длину 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дуги </w:t>
      </w:r>
      <w:r>
        <w:rPr>
          <w:rFonts w:ascii="Symbol" w:eastAsia="SimSun" w:hAnsi="Symbol" w:cs="Symbol"/>
          <w:color w:val="000000"/>
          <w:sz w:val="28"/>
          <w:szCs w:val="28"/>
          <w:lang w:val="en-US" w:eastAsia="zh-CN" w:bidi="ar"/>
        </w:rPr>
        <w:t>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en-US" w:eastAsia="zh-CN" w:bidi="ar"/>
        </w:rPr>
        <w:t>l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vertAlign w:val="subscript"/>
          <w:lang w:eastAsia="zh-CN" w:bidi="ar"/>
        </w:rPr>
        <w:t>1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>. Включим еще один отрезок линии в схему, установим для него полученный угол</w:t>
      </w:r>
    </w:p>
    <w:p w:rsidR="004C5944" w:rsidRDefault="004C5944">
      <w:pP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</w:p>
    <w:p w:rsidR="004C5944" w:rsidRDefault="009577D6">
      <w:pPr>
        <w:jc w:val="center"/>
      </w:pPr>
      <w:r>
        <w:rPr>
          <w:noProof/>
          <w:lang w:eastAsia="ru-RU"/>
        </w:rPr>
        <w:lastRenderedPageBreak/>
        <w:drawing>
          <wp:inline distT="0" distB="0" distL="114300" distR="114300">
            <wp:extent cx="3993515" cy="3844925"/>
            <wp:effectExtent l="0" t="0" r="6985" b="3175"/>
            <wp:docPr id="14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93515" cy="384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Pr="009577D6" w:rsidRDefault="009577D6">
      <w:pPr>
        <w:pStyle w:val="a6"/>
        <w:spacing w:before="100" w:beforeAutospacing="0" w:afterAutospacing="0" w:line="15" w:lineRule="atLeast"/>
        <w:ind w:left="880" w:right="880"/>
        <w:jc w:val="center"/>
        <w:rPr>
          <w:i/>
          <w:iCs/>
          <w:color w:val="000000"/>
          <w:sz w:val="28"/>
          <w:szCs w:val="28"/>
          <w:lang w:val="ru-RU"/>
        </w:rPr>
      </w:pPr>
      <w:r w:rsidRPr="009577D6">
        <w:rPr>
          <w:i/>
          <w:iCs/>
          <w:color w:val="000000"/>
          <w:sz w:val="28"/>
          <w:szCs w:val="28"/>
          <w:lang w:val="ru-RU"/>
        </w:rPr>
        <w:t>Рис. 10. Схема с подключенным параллельным разомкнутым шлейфом</w:t>
      </w:r>
    </w:p>
    <w:p w:rsidR="004C5944" w:rsidRPr="009577D6" w:rsidRDefault="004C5944">
      <w:pPr>
        <w:jc w:val="center"/>
        <w:rPr>
          <w:lang w:eastAsia="zh-CN"/>
        </w:rPr>
      </w:pPr>
    </w:p>
    <w:p w:rsidR="004C5944" w:rsidRDefault="009577D6">
      <w:pPr>
        <w:jc w:val="center"/>
      </w:pPr>
      <w:r>
        <w:rPr>
          <w:noProof/>
          <w:lang w:eastAsia="ru-RU"/>
        </w:rPr>
        <w:drawing>
          <wp:inline distT="0" distB="0" distL="114300" distR="114300">
            <wp:extent cx="4538345" cy="3501390"/>
            <wp:effectExtent l="0" t="0" r="14605" b="3810"/>
            <wp:docPr id="13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38345" cy="350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Default="009577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Рис. </w:t>
      </w:r>
      <w:r w:rsidRPr="009577D6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  Графики активной и реактивной составляющих проводимости нагрузки при согласовании параллельным разомкнутым шлейфом</w:t>
      </w:r>
    </w:p>
    <w:p w:rsidR="004C5944" w:rsidRDefault="009577D6">
      <w:p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 xml:space="preserve">На </w:t>
      </w:r>
      <w:hyperlink r:id="rId19" w:anchor="heading=h.du4gp3ha2w1z" w:history="1">
        <w:r>
          <w:rPr>
            <w:rStyle w:val="a3"/>
            <w:rFonts w:ascii="Times New Roman" w:eastAsia="SimSun" w:hAnsi="Times New Roman" w:cs="Times New Roman"/>
            <w:color w:val="0074D9"/>
            <w:sz w:val="28"/>
            <w:szCs w:val="28"/>
            <w:u w:val="none"/>
          </w:rPr>
          <w:t>рис.</w:t>
        </w:r>
        <w:r w:rsidRPr="009577D6">
          <w:rPr>
            <w:rStyle w:val="a3"/>
            <w:rFonts w:ascii="Times New Roman" w:eastAsia="SimSun" w:hAnsi="Times New Roman" w:cs="Times New Roman"/>
            <w:color w:val="0074D9"/>
            <w:sz w:val="28"/>
            <w:szCs w:val="28"/>
            <w:u w:val="none"/>
          </w:rPr>
          <w:t xml:space="preserve"> 11</w:t>
        </w:r>
      </w:hyperlink>
      <w:r>
        <w:rPr>
          <w:rFonts w:ascii="Times New Roman" w:eastAsia="SimSun" w:hAnsi="Times New Roman" w:cs="Times New Roman"/>
          <w:color w:val="0074D9"/>
          <w:sz w:val="28"/>
          <w:szCs w:val="28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</w:rPr>
        <w:t>мы видим, что параллельный разомкнутый шлейф компенсирует реактивную составляющую.</w:t>
      </w:r>
    </w:p>
    <w:p w:rsidR="004C5944" w:rsidRDefault="004C5944">
      <w:pPr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4C5944" w:rsidRDefault="004C5944">
      <w:pPr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4C5944" w:rsidRDefault="009577D6"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Для оценки полосы согласования создадим </w:t>
      </w:r>
    </w:p>
    <w:p w:rsidR="004C5944" w:rsidRPr="009577D6" w:rsidRDefault="009577D6">
      <w:pP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 w:bidi="ar"/>
        </w:rPr>
      </w:pP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график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en-US" w:eastAsia="zh-CN" w:bidi="ar"/>
        </w:rPr>
        <w:t>Graph</w:t>
      </w:r>
      <w:r w:rsidRPr="009577D6"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  <w:t xml:space="preserve"> 2</w:t>
      </w:r>
    </w:p>
    <w:p w:rsidR="004C5944" w:rsidRPr="009577D6" w:rsidRDefault="004C5944">
      <w:pP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 w:bidi="ar"/>
        </w:rPr>
      </w:pPr>
    </w:p>
    <w:p w:rsidR="004C5944" w:rsidRDefault="009577D6">
      <w:pPr>
        <w:jc w:val="center"/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5271135" cy="3776980"/>
            <wp:effectExtent l="0" t="0" r="5715" b="13970"/>
            <wp:docPr id="15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7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44" w:rsidRPr="009577D6" w:rsidRDefault="009577D6">
      <w:pPr>
        <w:pStyle w:val="a6"/>
        <w:spacing w:before="80" w:beforeAutospacing="0" w:afterAutospacing="0" w:line="15" w:lineRule="atLeast"/>
        <w:ind w:left="880" w:right="880"/>
        <w:jc w:val="center"/>
        <w:rPr>
          <w:sz w:val="28"/>
          <w:szCs w:val="28"/>
          <w:lang w:val="ru-RU"/>
        </w:rPr>
      </w:pPr>
      <w:r w:rsidRPr="009577D6">
        <w:rPr>
          <w:i/>
          <w:iCs/>
          <w:color w:val="000000"/>
          <w:sz w:val="28"/>
          <w:szCs w:val="28"/>
          <w:lang w:val="ru-RU"/>
        </w:rPr>
        <w:t>Рис. 12. График зависимости коэффициента отражения от частоты</w:t>
      </w:r>
    </w:p>
    <w:p w:rsidR="004C5944" w:rsidRDefault="004C5944">
      <w:pPr>
        <w:jc w:val="center"/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</w:p>
    <w:p w:rsidR="004C5944" w:rsidRPr="009577D6" w:rsidRDefault="004C5944">
      <w:pP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</w:p>
    <w:p w:rsidR="004C5944" w:rsidRDefault="009577D6">
      <w:p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t>Выводы</w:t>
      </w:r>
      <w:r>
        <w:rPr>
          <w:rFonts w:ascii="Times New Roman" w:eastAsia="SimSun" w:hAnsi="Times New Roman" w:cs="Times New Roman"/>
          <w:color w:val="000000"/>
          <w:sz w:val="26"/>
          <w:szCs w:val="26"/>
          <w:lang w:val="en-US"/>
        </w:rPr>
        <w:t>:</w:t>
      </w:r>
    </w:p>
    <w:p w:rsidR="004C5944" w:rsidRDefault="009577D6">
      <w:pPr>
        <w:numPr>
          <w:ilvl w:val="0"/>
          <w:numId w:val="1"/>
        </w:num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t>В ходе лабораторной работы освоен метод одношлейфного согласования линии передачи с комплексной нагрузкой с использованием диаграммы Вольперта–Смита.</w:t>
      </w:r>
    </w:p>
    <w:p w:rsidR="004C5944" w:rsidRDefault="009577D6">
      <w:pPr>
        <w:numPr>
          <w:ilvl w:val="0"/>
          <w:numId w:val="1"/>
        </w:num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lastRenderedPageBreak/>
        <w:t>Показано, что диаграмма Вольперта–Смита является удобным и наглядным инструментом для определения нормированных сопротивлений и проводимостей, а также для расчета необходимых длин отрезков линий передачи.</w:t>
      </w:r>
    </w:p>
    <w:p w:rsidR="004C5944" w:rsidRDefault="004C5944">
      <w:pPr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9577D6">
      <w:pPr>
        <w:numPr>
          <w:ilvl w:val="0"/>
          <w:numId w:val="1"/>
        </w:num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t>Экспериментально подтверждено, что изменение длины линии между нагрузкой и точкой включения шлейфа позволяет трансформировать активную составляющую проводимости до значения, близкого к волновой.</w:t>
      </w:r>
    </w:p>
    <w:p w:rsidR="004C5944" w:rsidRDefault="009577D6">
      <w:pPr>
        <w:numPr>
          <w:ilvl w:val="0"/>
          <w:numId w:val="1"/>
        </w:num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t>Установлено, что подключение параллельного разомкнутого шлейфа соответствующей длины обеспечивает компенсацию реактивной составляющей проводимости нагрузки.</w:t>
      </w:r>
    </w:p>
    <w:p w:rsidR="004C5944" w:rsidRDefault="009577D6">
      <w:pPr>
        <w:numPr>
          <w:ilvl w:val="0"/>
          <w:numId w:val="1"/>
        </w:num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t>В результате применения двухэтапного согласования (трансформирующий отрезок + параллельный шлейф) удалось приблизить входную проводимость к чисто активной и равной волновой, что соответствует режиму бегущей волны.</w:t>
      </w:r>
    </w:p>
    <w:p w:rsidR="004C5944" w:rsidRDefault="009577D6">
      <w:pPr>
        <w:numPr>
          <w:ilvl w:val="0"/>
          <w:numId w:val="1"/>
        </w:numPr>
        <w:rPr>
          <w:rFonts w:ascii="Times New Roman" w:eastAsia="SimSun" w:hAnsi="Times New Roman" w:cs="Times New Roman"/>
          <w:color w:val="000000"/>
          <w:sz w:val="26"/>
          <w:szCs w:val="26"/>
        </w:rPr>
      </w:pPr>
      <w:r>
        <w:rPr>
          <w:rFonts w:ascii="Times New Roman" w:eastAsia="SimSun" w:hAnsi="Times New Roman" w:cs="Times New Roman"/>
          <w:color w:val="000000"/>
          <w:sz w:val="26"/>
          <w:szCs w:val="26"/>
        </w:rPr>
        <w:t>Продемонстрировано, что одношлейфное согласование является эффективным, но узкополосным методом, что подтверждается анализом частотной зависимости коэффициента отражения.</w:t>
      </w: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6"/>
          <w:szCs w:val="26"/>
        </w:rPr>
      </w:pPr>
    </w:p>
    <w:p w:rsidR="004C5944" w:rsidRDefault="009577D6">
      <w:pPr>
        <w:tabs>
          <w:tab w:val="left" w:pos="420"/>
        </w:tabs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</w:rPr>
        <w:t>Контрольные вопросы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1. Что такое коэффициент отражения, коэффициент бегущей волны и от чего они зависят?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Коэффициент отражения – это доля отражённой волны от падающей. Показывает, насколько нагрузка «не согласована» с линией.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Коэффициент бегущей волны (КБВ) – отношение минимального напряжения в линии к максимальному. Чем ближе КБВ к 1, тем лучше согласование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Зависят: от соотношения сопротивления нагрузки и волнового сопротивления линии, а также от частоты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2. Согласование с помощью параллельного короткозамкнутого шлейфа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Шлейф включается параллельно линии на определённом расстоянии от нагрузки. Расстояние выбирается так, чтобы активная часть проводимости стала равна волновой. Длина шлейфа подбирается так, чтобы его реактивная проводимость компенсировала реактивность линии в этой точке. Короткозамкнутый шлейф ведёт себя как индуктивность или ёмкость в зависимости от его длины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3. Согласование с помощью параллельного разомкнутого шлейфа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Принцип тот же, но используется разомкнутый шлейф. Он удобнее в микрополосковом исполнении. Разомкнутый шлейф имеет ёмкостной характер при длине меньше четверти волны и индуктивный – больше четверти волны. Выбором его длины компенсируют реактивную составляющую нагрузки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4. Согласование с помощью четвертьволнового трансформатора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 xml:space="preserve">Это отрезок линии длиной в четверть волны, который включается между линией и нагрузкой. Его волновое сопротивление подбирают так, чтобы он преобразовал сопротивление нагрузки в волновое </w:t>
      </w:r>
      <w:r>
        <w:rPr>
          <w:rFonts w:ascii="Times New Roman" w:eastAsia="SimSun" w:hAnsi="Times New Roman" w:cs="Times New Roman"/>
          <w:color w:val="000000"/>
          <w:sz w:val="28"/>
          <w:szCs w:val="28"/>
        </w:rPr>
        <w:lastRenderedPageBreak/>
        <w:t>сопротивление линии. Метод работает только для чисто активной нагрузки и на одной частоте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5. От чего зависит длина волны в волноводе?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Длина волны в волноводе зависит от длины волны в свободном пространстве и от критической длины волны, которая определяется размерами волновода и типом волны. В обычных линиях передачи (коаксиальная, полосковая линия) длина волны равна длине волны в среде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6. Из каких соображений производится согласование?</w:t>
      </w:r>
    </w:p>
    <w:p w:rsidR="004C5944" w:rsidRDefault="009577D6">
      <w:pPr>
        <w:numPr>
          <w:ilvl w:val="0"/>
          <w:numId w:val="2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Согласование делают для того, чтобы:</w:t>
      </w:r>
    </w:p>
    <w:p w:rsidR="004C5944" w:rsidRDefault="009577D6">
      <w:pPr>
        <w:numPr>
          <w:ilvl w:val="0"/>
          <w:numId w:val="2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убрать отражённую волну;</w:t>
      </w:r>
    </w:p>
    <w:p w:rsidR="004C5944" w:rsidRDefault="009577D6">
      <w:pPr>
        <w:numPr>
          <w:ilvl w:val="0"/>
          <w:numId w:val="2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передать максимум мощности от генератора к нагрузке;</w:t>
      </w:r>
    </w:p>
    <w:p w:rsidR="004C5944" w:rsidRDefault="009577D6">
      <w:pPr>
        <w:numPr>
          <w:ilvl w:val="0"/>
          <w:numId w:val="2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избежать пробоя линии в местах большого напряжения;</w:t>
      </w:r>
    </w:p>
    <w:p w:rsidR="004C5944" w:rsidRDefault="009577D6">
      <w:pPr>
        <w:numPr>
          <w:ilvl w:val="0"/>
          <w:numId w:val="2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обеспечить стабильную работу генератора;</w:t>
      </w:r>
    </w:p>
    <w:p w:rsidR="004C5944" w:rsidRDefault="009577D6">
      <w:pPr>
        <w:numPr>
          <w:ilvl w:val="0"/>
          <w:numId w:val="2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уменьшить частотные искажения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7. В чём состоит метод согласования с помощью реактивного штыря?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Реактивный штырь – это металлический стержень, который вводится в волновод на разную глубину. Он вносит реактивное сопротивление (индуктивное или ёмкостное). Штырь размещают на таком расстоянии от нагрузки, где активная проводимость равна волновой, а глубиной погружения компенсируют реактивную составляющую. Метод удобен для волноводных трактов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8. В чём состоит метод согласования с помощью четвертьволнового трансформатора?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Это отрезок линии длиной ровно в четверть волны, включённый между линией и нагрузкой. Он «превращает» сопротивление нагрузки в другое сопротивление на своём входе. Правильно подобрав его волновое сопротивление, можно получить на входе волновое сопротивление основной линии. Метод узкополосный и требует чисто активной нагрузки</w:t>
      </w: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9. Цели согласования</w:t>
      </w:r>
    </w:p>
    <w:p w:rsidR="004C5944" w:rsidRDefault="009577D6">
      <w:pPr>
        <w:numPr>
          <w:ilvl w:val="0"/>
          <w:numId w:val="3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Максимальная передача мощности в нагрузку.</w:t>
      </w:r>
    </w:p>
    <w:p w:rsidR="004C5944" w:rsidRDefault="009577D6">
      <w:pPr>
        <w:numPr>
          <w:ilvl w:val="0"/>
          <w:numId w:val="3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lastRenderedPageBreak/>
        <w:t>Устранение стоячих волн (режим бегущей волны).</w:t>
      </w:r>
    </w:p>
    <w:p w:rsidR="004C5944" w:rsidRDefault="009577D6">
      <w:pPr>
        <w:numPr>
          <w:ilvl w:val="0"/>
          <w:numId w:val="3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Предотвращение электрического пробоя линии.</w:t>
      </w:r>
    </w:p>
    <w:p w:rsidR="004C5944" w:rsidRDefault="009577D6">
      <w:pPr>
        <w:numPr>
          <w:ilvl w:val="0"/>
          <w:numId w:val="3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Стабилизация частоты генераторов</w:t>
      </w:r>
    </w:p>
    <w:p w:rsidR="004C5944" w:rsidRDefault="009577D6">
      <w:pPr>
        <w:numPr>
          <w:ilvl w:val="0"/>
          <w:numId w:val="3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Расширение динамического диапазона измерительных приборов.</w:t>
      </w:r>
    </w:p>
    <w:p w:rsidR="004C5944" w:rsidRDefault="009577D6">
      <w:pPr>
        <w:numPr>
          <w:ilvl w:val="0"/>
          <w:numId w:val="3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Уменьшение частотных искажений.</w:t>
      </w:r>
    </w:p>
    <w:p w:rsidR="004C5944" w:rsidRDefault="004C5944">
      <w:pPr>
        <w:tabs>
          <w:tab w:val="left" w:pos="420"/>
        </w:tabs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4C5944" w:rsidRDefault="009577D6">
      <w:pPr>
        <w:tabs>
          <w:tab w:val="left" w:pos="420"/>
        </w:tabs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</w:rPr>
        <w:t>10. Назовите известные способы согласования нагрузки с линией</w:t>
      </w:r>
    </w:p>
    <w:p w:rsidR="004C5944" w:rsidRDefault="009577D6">
      <w:pPr>
        <w:numPr>
          <w:ilvl w:val="0"/>
          <w:numId w:val="4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Параллельный или последовательный шлейф (короткозамкнутый или разомкнутый).</w:t>
      </w:r>
    </w:p>
    <w:p w:rsidR="004C5944" w:rsidRDefault="009577D6">
      <w:pPr>
        <w:numPr>
          <w:ilvl w:val="0"/>
          <w:numId w:val="4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Четвертьволновый трансформатор.</w:t>
      </w:r>
    </w:p>
    <w:p w:rsidR="004C5944" w:rsidRDefault="009577D6">
      <w:pPr>
        <w:numPr>
          <w:ilvl w:val="0"/>
          <w:numId w:val="4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Многошлейфные согласующие устройства (двухшлейфное, трёхшлейфное).</w:t>
      </w:r>
    </w:p>
    <w:p w:rsidR="004C5944" w:rsidRDefault="009577D6">
      <w:pPr>
        <w:numPr>
          <w:ilvl w:val="0"/>
          <w:numId w:val="4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Реактивный штырь в волноводе.</w:t>
      </w:r>
    </w:p>
    <w:p w:rsidR="004C5944" w:rsidRDefault="009577D6">
      <w:pPr>
        <w:numPr>
          <w:ilvl w:val="0"/>
          <w:numId w:val="4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Ступенчатые и плавные переходы.</w:t>
      </w:r>
    </w:p>
    <w:p w:rsidR="004C5944" w:rsidRDefault="009577D6">
      <w:pPr>
        <w:numPr>
          <w:ilvl w:val="0"/>
          <w:numId w:val="4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Согласующие LC-цепочки на сосредоточенных элементах.</w:t>
      </w:r>
    </w:p>
    <w:p w:rsidR="004C5944" w:rsidRDefault="009577D6">
      <w:pPr>
        <w:numPr>
          <w:ilvl w:val="0"/>
          <w:numId w:val="4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Ферритовые и диэлектрические трансформаторы.</w:t>
      </w:r>
    </w:p>
    <w:p w:rsidR="004C5944" w:rsidRDefault="009577D6">
      <w:pPr>
        <w:numPr>
          <w:ilvl w:val="0"/>
          <w:numId w:val="4"/>
        </w:numPr>
        <w:rPr>
          <w:rFonts w:ascii="Times New Roman" w:eastAsia="SimSu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</w:rPr>
        <w:t>Аттенюаторы (ценой потери мощности)</w:t>
      </w:r>
    </w:p>
    <w:sectPr w:rsidR="004C5944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968" w:rsidRDefault="00364968">
      <w:pPr>
        <w:spacing w:line="240" w:lineRule="auto"/>
      </w:pPr>
      <w:r>
        <w:separator/>
      </w:r>
    </w:p>
  </w:endnote>
  <w:endnote w:type="continuationSeparator" w:id="0">
    <w:p w:rsidR="00364968" w:rsidRDefault="003649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968" w:rsidRDefault="00364968">
      <w:pPr>
        <w:spacing w:after="0"/>
      </w:pPr>
      <w:r>
        <w:separator/>
      </w:r>
    </w:p>
  </w:footnote>
  <w:footnote w:type="continuationSeparator" w:id="0">
    <w:p w:rsidR="00364968" w:rsidRDefault="0036496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E975C6"/>
    <w:multiLevelType w:val="singleLevel"/>
    <w:tmpl w:val="B0E975C6"/>
    <w:lvl w:ilvl="0">
      <w:start w:val="1"/>
      <w:numFmt w:val="bullet"/>
      <w:lvlText w:val="●"/>
      <w:lvlJc w:val="left"/>
      <w:pPr>
        <w:tabs>
          <w:tab w:val="left" w:pos="420"/>
        </w:tabs>
        <w:ind w:left="418" w:hanging="418"/>
      </w:pPr>
      <w:rPr>
        <w:rFonts w:ascii="Arial" w:hAnsi="Arial" w:cs="Arial" w:hint="default"/>
      </w:rPr>
    </w:lvl>
  </w:abstractNum>
  <w:abstractNum w:abstractNumId="1" w15:restartNumberingAfterBreak="0">
    <w:nsid w:val="DB8EAC6D"/>
    <w:multiLevelType w:val="singleLevel"/>
    <w:tmpl w:val="DB8EAC6D"/>
    <w:lvl w:ilvl="0">
      <w:start w:val="1"/>
      <w:numFmt w:val="bullet"/>
      <w:lvlText w:val="●"/>
      <w:lvlJc w:val="left"/>
      <w:pPr>
        <w:tabs>
          <w:tab w:val="left" w:pos="420"/>
        </w:tabs>
        <w:ind w:left="418" w:hanging="418"/>
      </w:pPr>
      <w:rPr>
        <w:rFonts w:ascii="Arial" w:hAnsi="Arial" w:cs="Arial" w:hint="default"/>
      </w:rPr>
    </w:lvl>
  </w:abstractNum>
  <w:abstractNum w:abstractNumId="2" w15:restartNumberingAfterBreak="0">
    <w:nsid w:val="2A21676B"/>
    <w:multiLevelType w:val="singleLevel"/>
    <w:tmpl w:val="2A21676B"/>
    <w:lvl w:ilvl="0">
      <w:start w:val="1"/>
      <w:numFmt w:val="bullet"/>
      <w:lvlText w:val="●"/>
      <w:lvlJc w:val="left"/>
      <w:pPr>
        <w:tabs>
          <w:tab w:val="left" w:pos="420"/>
        </w:tabs>
        <w:ind w:left="418" w:hanging="418"/>
      </w:pPr>
      <w:rPr>
        <w:rFonts w:ascii="Arial" w:hAnsi="Arial" w:cs="Arial" w:hint="default"/>
      </w:rPr>
    </w:lvl>
  </w:abstractNum>
  <w:abstractNum w:abstractNumId="3" w15:restartNumberingAfterBreak="0">
    <w:nsid w:val="4E3AB7FE"/>
    <w:multiLevelType w:val="singleLevel"/>
    <w:tmpl w:val="4E3AB7FE"/>
    <w:lvl w:ilvl="0">
      <w:start w:val="1"/>
      <w:numFmt w:val="bullet"/>
      <w:lvlText w:val="●"/>
      <w:lvlJc w:val="left"/>
      <w:pPr>
        <w:tabs>
          <w:tab w:val="left" w:pos="420"/>
        </w:tabs>
        <w:ind w:left="418" w:hanging="418"/>
      </w:pPr>
      <w:rPr>
        <w:rFonts w:ascii="Arial" w:hAnsi="Arial" w:cs="Aria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defaultTabStop w:val="708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982912"/>
    <w:rsid w:val="000069A1"/>
    <w:rsid w:val="001712BD"/>
    <w:rsid w:val="00364968"/>
    <w:rsid w:val="004C5944"/>
    <w:rsid w:val="008F2CE8"/>
    <w:rsid w:val="009577D6"/>
    <w:rsid w:val="1C785E82"/>
    <w:rsid w:val="1F7820CC"/>
    <w:rsid w:val="26BF3F9F"/>
    <w:rsid w:val="2B7B31CD"/>
    <w:rsid w:val="5D2A05E8"/>
    <w:rsid w:val="5E3311F6"/>
    <w:rsid w:val="6D982912"/>
    <w:rsid w:val="6F19723A"/>
    <w:rsid w:val="7E21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2D6C11"/>
  <w15:docId w15:val="{7D1C4E90-0445-4080-B2EB-846674BCC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next w:val="a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character" w:styleId="a4">
    <w:name w:val="Strong"/>
    <w:basedOn w:val="a0"/>
    <w:qFormat/>
    <w:rPr>
      <w:b/>
      <w:bCs/>
    </w:rPr>
  </w:style>
  <w:style w:type="paragraph" w:styleId="a5">
    <w:name w:val="Body Text"/>
    <w:basedOn w:val="a"/>
    <w:uiPriority w:val="1"/>
    <w:qFormat/>
    <w:pPr>
      <w:ind w:left="140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customStyle="1" w:styleId="TableParagraph">
    <w:name w:val="Table Paragraph"/>
    <w:basedOn w:val="a"/>
    <w:uiPriority w:val="1"/>
    <w:qFormat/>
    <w:pPr>
      <w:ind w:left="12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yperlink" Target="https://docs.google.com/document/d/1q5NP-07fztYNK-YjyaCnlAy7EsKk-LtD/ed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Lab-221-14</cp:lastModifiedBy>
  <cp:revision>2</cp:revision>
  <dcterms:created xsi:type="dcterms:W3CDTF">2026-05-25T09:14:00Z</dcterms:created>
  <dcterms:modified xsi:type="dcterms:W3CDTF">2026-05-25T09:14:00Z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2917C1F5DF57408888C612619D994685_11</vt:lpwstr>
  </property>
  <property fmtid="{D5CDD505-2E9C-101B-9397-08002B2CF9AE}" pid="4" name="KSOTemplateDocerSaveRecord">
    <vt:lpwstr>eyJoZGlkIjoiOTEyOWZiNmZjYWQ0MmJlMDkwNGRjYTY2ZjRjYzdkNTkiLCJ1c2VySWQiOiI4MjQ2MzQ3ODIxNzQifQ==</vt:lpwstr>
  </property>
</Properties>
</file>